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5D" w:rsidRDefault="00420964" w:rsidP="004E0173">
      <w:pPr>
        <w:jc w:val="center"/>
        <w:rPr>
          <w:rFonts w:ascii="Georgia" w:hAnsi="Georgia"/>
          <w:b/>
          <w:bCs/>
          <w:color w:val="FFFFFF"/>
          <w:shd w:val="clear" w:color="auto" w:fill="000080"/>
        </w:rPr>
      </w:pPr>
      <w:r>
        <w:rPr>
          <w:rFonts w:ascii="Georgia" w:hAnsi="Georgia"/>
          <w:b/>
          <w:bCs/>
          <w:color w:val="FFFFFF"/>
          <w:shd w:val="clear" w:color="auto" w:fill="000080"/>
        </w:rPr>
        <w:t>AKARYAKIT İSTASYONLARINDA ALINMASI GEREKLİ İSG ÖNLEMLERİ</w:t>
      </w:r>
    </w:p>
    <w:p w:rsidR="00420964" w:rsidRDefault="00420964" w:rsidP="004E0173">
      <w:pPr>
        <w:jc w:val="center"/>
        <w:rPr>
          <w:rFonts w:ascii="Georgia" w:hAnsi="Georgia"/>
          <w:b/>
          <w:bCs/>
          <w:color w:val="FFFFFF"/>
          <w:shd w:val="clear" w:color="auto" w:fill="000080"/>
        </w:rPr>
      </w:pPr>
    </w:p>
    <w:p w:rsidR="00420964" w:rsidRDefault="00420964" w:rsidP="00420964">
      <w:pPr>
        <w:pStyle w:val="tespit"/>
        <w:spacing w:before="120" w:beforeAutospacing="0" w:after="0" w:afterAutospacing="0"/>
        <w:ind w:firstLine="700"/>
        <w:jc w:val="both"/>
        <w:rPr>
          <w:b/>
          <w:bCs/>
          <w:color w:val="000000"/>
          <w:sz w:val="27"/>
          <w:szCs w:val="27"/>
        </w:rPr>
      </w:pPr>
      <w:r>
        <w:rPr>
          <w:rStyle w:val="apple-converted-space"/>
          <w:b/>
          <w:bCs/>
          <w:color w:val="000000"/>
          <w:sz w:val="27"/>
          <w:szCs w:val="27"/>
        </w:rPr>
        <w:t> </w:t>
      </w:r>
      <w:r>
        <w:rPr>
          <w:b/>
          <w:bCs/>
          <w:color w:val="000000"/>
          <w:sz w:val="27"/>
          <w:szCs w:val="27"/>
        </w:rPr>
        <w:t>TESİSAT PROJESİ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istasyonlar projesine uygun olarak tesis edilmeli, tesisat projesi ve vaziyet planı gibi projelerin bir örneği tesiste bulundurulmalıdır.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Madde:4.14.2)</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ACİL TELEFONLAR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Acil durumlarda aranacak telefon numaraları telefonların yanında görünür bir yerde bulundurulmalıdır.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Madde:4.14.4)</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AKARYAKIT İSTASYONU BAYİLİK SÖZLEŞMESİ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Bir dağıtım şirketi ile bayilik sözleşmesi yapılmadan akaryakıt istasyonu kurulmamalı ve işletilmemelidir.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Madde:4.14.5)</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ZEMİN VE AYDINLATMA</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istasyonunun zemini düzgün olmalı, araç giriş-çıkışı için gerekli emniyet tedbirleri alınmış ve aydınlatma yapılmış olmalıdır.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Madde:4.14.6)</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YER ÜSTÜ AKARYAKIT TANKLARINDA DEPOLAMA</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sadece yer altı tanklarında depolanmalıdır. Denizcilik amaçlı akaryakıt istasyonlarında, istenildiğinde yer üstü tanklarında da depolama yapılabilir.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Not 1-   Bu standardın yayımlandığı tarihte (20.05.2007) faaliyette bulunduğunu belgeleyen özel akaryakıt istasyonlarında, mevcut olması durumunda, yer üstü tanklarında da akaryakıt depolanabilir.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w:t>
      </w:r>
      <w:proofErr w:type="gramStart"/>
      <w:r>
        <w:rPr>
          <w:b/>
          <w:bCs/>
          <w:i/>
          <w:iCs/>
          <w:color w:val="000000"/>
          <w:sz w:val="27"/>
          <w:szCs w:val="27"/>
        </w:rPr>
        <w:t>4.1</w:t>
      </w:r>
      <w:proofErr w:type="gramEnd"/>
      <w:r>
        <w:rPr>
          <w:b/>
          <w:bCs/>
          <w:i/>
          <w:iCs/>
          <w:color w:val="000000"/>
          <w:sz w:val="27"/>
          <w:szCs w:val="27"/>
        </w:rPr>
        <w:t>)</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AKARYAKIT KAPASİTESİ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istasyonunda, tank başına 50.000 litreyi geçmemek şartıyla en fazla 300.000 litre akaryakıt depolanabilir.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Madde:4.2.3)</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TANKLARIN TOPRAKLANMASI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tankları, uygun şekilde topraklanmalı ve periyodik olarak denetlenmelidir.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Madde:4.2.5.3)</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HAVALANDIRMA BORUSUNUN YERİ VE ŞEKLİ (BENZİN)</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 xml:space="preserve">İçerisinde Sınıf I yakıtların (benzin)  depolandığı tankların havalandırmalarının çıkış ucu bina dışında, doldurma borusu uç seviyesinden yüksekte ve bitişik zemin seviyesinden en az </w:t>
      </w:r>
      <w:proofErr w:type="gramStart"/>
      <w:r>
        <w:rPr>
          <w:i/>
          <w:iCs/>
          <w:color w:val="000000"/>
          <w:sz w:val="27"/>
          <w:szCs w:val="27"/>
        </w:rPr>
        <w:t>3.6</w:t>
      </w:r>
      <w:proofErr w:type="gramEnd"/>
      <w:r>
        <w:rPr>
          <w:i/>
          <w:iCs/>
          <w:color w:val="000000"/>
          <w:sz w:val="27"/>
          <w:szCs w:val="27"/>
        </w:rPr>
        <w:t xml:space="preserve"> metre yukarıda olmalıdır.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Havalandırma çıkışlarının ve uyarıcı cihazların atmosferik olaylarla kirlenme ve yabancı maddeler ile tıkanma gibi olaylara karşı tedbirler alınmış olmalıdır.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lastRenderedPageBreak/>
        <w:t>Çıkış ağızlarının yeri ve yönü parlayıcı buharlar birikmeyecek ve emniyetsiz olan yerlere ulaşmayacak, bina açıklıklarından girmeyecek veya saçak altında birikmeyecek şekilde olmalıdır.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İçerisinde Sınıf IA yakıt bulunan tanklar, basınç altında tahliye yapılırken veya vakum uygulanırken açık, normalde ise kapalı olan basınç ve vakum tahliye cihazlarıyla donatılmış olmalıdır.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İçerisinde Sınıf IB veya Sınıf IC yakıt bulunan tanklar, basınç-vakum tahliye sistemleriyle veya tescilli alev tutucularla donatılmış olmalıdır.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Madde:4.2.7.1)</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HAVALANDIRMA BORUSUNUN YERİ VE ŞEKLİ (MAZOT)</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İçerisinde yalnızca ve tek başına Sınıf II veya Sınıf IIIA yakıt bulunan tankların havalandırmalarının çıkış ucu bina dışında ve doldurma borusu ağzının seviyesinden yukarıda olmalıdır.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Havalandırma çıkış uçları normalde beklenen kar seviyesinden yukarıda olmalıdır.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İçlerine yabancı madde girmesini önlemek için uçlar, çıkış dirseği ve kaba elekler veya diğer cihazlarla donatılmış olmalıdır.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Madde:4.2.7.3)</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DOLDURMA BORUSU</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Tank tepesinden giren doldurma borularının uçları tank tabanından en fazla 15 cm uzakta olmalıdır. Doldurma boruları titreşim en az olacak şekilde tesis edilmeli veya düzenlenmelidir.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Madde:4.2.7.4.4)</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İSTASYONA GİRİŞ ÇIKIŞ YOLLARI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istasyon giriş ve çıkışlarının her birinin genişliği en çok 20 m olmalıdır. İstasyonun, giriş ve çıkış dışında kalan yola olan cephesi araç girişine engel olacak şekilde tasarımlanmalıdır.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w:t>
      </w:r>
      <w:proofErr w:type="gramStart"/>
      <w:r>
        <w:rPr>
          <w:b/>
          <w:bCs/>
          <w:i/>
          <w:iCs/>
          <w:color w:val="000000"/>
          <w:sz w:val="27"/>
          <w:szCs w:val="27"/>
        </w:rPr>
        <w:t>4.3</w:t>
      </w:r>
      <w:proofErr w:type="gramEnd"/>
      <w:r>
        <w:rPr>
          <w:b/>
          <w:bCs/>
          <w:i/>
          <w:iCs/>
          <w:color w:val="000000"/>
          <w:sz w:val="27"/>
          <w:szCs w:val="27"/>
        </w:rPr>
        <w:t>)</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AKARYAKIT HORTUMU</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 xml:space="preserve">Akaryakıt pompalarındaki hortum </w:t>
      </w:r>
      <w:proofErr w:type="gramStart"/>
      <w:r>
        <w:rPr>
          <w:i/>
          <w:iCs/>
          <w:color w:val="000000"/>
          <w:sz w:val="27"/>
          <w:szCs w:val="27"/>
        </w:rPr>
        <w:t>5.5</w:t>
      </w:r>
      <w:proofErr w:type="gramEnd"/>
      <w:r>
        <w:rPr>
          <w:i/>
          <w:iCs/>
          <w:color w:val="000000"/>
          <w:sz w:val="27"/>
          <w:szCs w:val="27"/>
        </w:rPr>
        <w:t xml:space="preserve"> metreyi aşmamalıdır. Özel durumlarda bu uzunluk yetkili mercilerden alınacak izinlere göre belirlenebilir.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Madde:4.5.2.2)</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AKARYAKIT HORTUMUNA KAPLİN</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 xml:space="preserve">Dağıtım birimleri üzerindeki her doldurma hortumu üzerinde, acil durum anında koparak kopma noktasının her iki tarafında da sıvı akışını kesen, TS EN 13617-2’ye uygun bir emniyetli ayırma tertibatı (kırılabilir </w:t>
      </w:r>
      <w:proofErr w:type="spellStart"/>
      <w:r>
        <w:rPr>
          <w:i/>
          <w:iCs/>
          <w:color w:val="000000"/>
          <w:sz w:val="27"/>
          <w:szCs w:val="27"/>
        </w:rPr>
        <w:t>kaplin</w:t>
      </w:r>
      <w:proofErr w:type="spellEnd"/>
      <w:r>
        <w:rPr>
          <w:i/>
          <w:iCs/>
          <w:color w:val="000000"/>
          <w:sz w:val="27"/>
          <w:szCs w:val="27"/>
        </w:rPr>
        <w:t>) bulunmalıdır.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Madde:4.5.2.4)</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ÇUKUR VE BOŞ HACİMLER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 xml:space="preserve">Bu standardın yayımlanmasından sonra inşa edilen akaryakıt istasyonlarında bodrum katı bulunmamalıdır. Bu standardın yayımlanmasından önce inşa edilmiş istasyonlarda, bodrum kat girişi ve bodrum katın herhangi bir açıklığı, havalandırma borusu çıkış ucu, doldurma ağzı, tank ve dağıtım birimleriyle aksi </w:t>
      </w:r>
      <w:r>
        <w:rPr>
          <w:i/>
          <w:iCs/>
          <w:color w:val="000000"/>
          <w:sz w:val="27"/>
          <w:szCs w:val="27"/>
        </w:rPr>
        <w:lastRenderedPageBreak/>
        <w:t>cephede (girişi arkadan) olmalı, girişte eşik ve eşikten sonra dışarıya doğru bir meyil olmalıdır.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 xml:space="preserve">Tank üzerinde, doldurma veya ölçme ağzı üzerinde, akaryakıt pompası altında ve emniyet mesafeleri </w:t>
      </w:r>
      <w:proofErr w:type="gramStart"/>
      <w:r>
        <w:rPr>
          <w:i/>
          <w:iCs/>
          <w:color w:val="000000"/>
          <w:sz w:val="27"/>
          <w:szCs w:val="27"/>
        </w:rPr>
        <w:t>dahilinde</w:t>
      </w:r>
      <w:proofErr w:type="gramEnd"/>
      <w:r>
        <w:rPr>
          <w:i/>
          <w:iCs/>
          <w:color w:val="000000"/>
          <w:sz w:val="27"/>
          <w:szCs w:val="27"/>
        </w:rPr>
        <w:t xml:space="preserve"> adam giriş çukurları ve dalgıç pompa çukurları haricinde, çukur ya da boşluk bulunmamalıdır.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w:t>
      </w:r>
      <w:proofErr w:type="gramStart"/>
      <w:r>
        <w:rPr>
          <w:b/>
          <w:bCs/>
          <w:i/>
          <w:iCs/>
          <w:color w:val="000000"/>
          <w:sz w:val="27"/>
          <w:szCs w:val="27"/>
        </w:rPr>
        <w:t>4.6</w:t>
      </w:r>
      <w:proofErr w:type="gramEnd"/>
      <w:r>
        <w:rPr>
          <w:b/>
          <w:bCs/>
          <w:i/>
          <w:iCs/>
          <w:color w:val="000000"/>
          <w:sz w:val="27"/>
          <w:szCs w:val="27"/>
        </w:rPr>
        <w:t>)</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KAÇAK AKIM RÖLESİ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Bütün elektrik tesisatı ve elektrikli cihazlar, tesis edildikleri yerler için uygun olmalı ve ana panolara kaçak akım koruma rölesi konulmalıdır.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Madde:4.7.1.2)</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-KATI YAKIT YAKAN SOBALAR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Katı yakıt yakan sobalar yağlama veya servis yerlerinde kullanılmamalıdır.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Madde:4.8.3.1)</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YANGIN SÖNDÜRÜCÜ YANMAZ ÖRTÜ</w:t>
      </w:r>
    </w:p>
    <w:p w:rsidR="00420964" w:rsidRDefault="00420964" w:rsidP="00420964">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 xml:space="preserve">Her akaryakıt istasyonunda, her dağıtım birimi adasının yanında ve her binanın içerisinde en az 1 adet 6 kg’lık kuru kimyevi tozlu, ilâve olarak istasyon içerisinde farklı yerlerde ancak doldurma ağzına 7 m’den yakın, 30 m’den uzak olmayacak şekilde 2 adet en az 30 kg’lık tekerlekli, söndürme kapasitesi en az 89 B olan kuru kimyevi tozlu yangın söndürücü olmalıdır. </w:t>
      </w:r>
      <w:proofErr w:type="gramEnd"/>
      <w:r>
        <w:rPr>
          <w:i/>
          <w:iCs/>
          <w:color w:val="000000"/>
          <w:sz w:val="27"/>
          <w:szCs w:val="27"/>
        </w:rPr>
        <w:t>Ayrıca her 6 dağıtım birimi için ilave 1 adet 30 kg’lık veya daha büyük, kuru kimyevi tozlu tekerlekli yangın söndürücü olmalıdır. Yangın söndürücüler her pompadan, dağıtım biriminden, tank doldurma borusu ağzından, yağlama veya servis yerinden 30 m’den daha uzakta olmamalıdır.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 xml:space="preserve">Seyyar yangın söndürücülerin yanında, özellikle araç ve dağıtım birimi yangınlarında kullanılmak üzere en az 1 adet 2 m x 2 </w:t>
      </w:r>
      <w:proofErr w:type="spellStart"/>
      <w:r>
        <w:rPr>
          <w:i/>
          <w:iCs/>
          <w:color w:val="000000"/>
          <w:sz w:val="27"/>
          <w:szCs w:val="27"/>
        </w:rPr>
        <w:t>m’lik</w:t>
      </w:r>
      <w:proofErr w:type="spellEnd"/>
      <w:r>
        <w:rPr>
          <w:i/>
          <w:iCs/>
          <w:color w:val="000000"/>
          <w:sz w:val="27"/>
          <w:szCs w:val="27"/>
        </w:rPr>
        <w:t xml:space="preserve"> yanmaz örtü bulunmalıdır.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Yangın söndürücüler en az 6 ayda bir kontrol edilmeli ve kontrol tarihleri cihaz üzerindeki etikette yer almalıdır.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Madde:4.12)</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STATİK ELEKTRİK TOPRAKLAMA BAĞLANTISI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istasyonuna gelen tankerler dolum işlemine başlamadan önce statik yükten arındırılmalı, doldurma ve boşaltma esnasında tank ile tanker arasında statik elektrik yükü dengesini sağlayacak bağlantı yapılmalı ve tanker topraklanmalıdır.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Madde:4.12.2)</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PARATONER SİSTEMİ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istasyonunda TS 622’ye uygun bir paratoner sistemi olmalı veya istasyonun paratoner sistemine eşdeğer bir şekilde yangından korunduğu yetkili merciden alınan bir belge ile belgelendirilmelidir.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Madde:4.12.3)</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EĞİTİM SERTİFİKASI YANGIN TATBİKATI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 xml:space="preserve">Akaryakıt istasyonlarında çalışanlar, bayisi olunan dağıtıcı veya dağıtıcı koordinasyonundaki ilgililer tarafından, işleri ile ilgili sağlık, emniyet ve yangınla </w:t>
      </w:r>
      <w:r>
        <w:rPr>
          <w:i/>
          <w:iCs/>
          <w:color w:val="000000"/>
          <w:sz w:val="27"/>
          <w:szCs w:val="27"/>
        </w:rPr>
        <w:lastRenderedPageBreak/>
        <w:t>müdahale eğitimine tabi tutulmuş olmalıdır. Ayrıca alarm ve tahliye eğitim ve tatbikatları yapılmalıdır.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Madde:4.12.4)</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TALİMAT LEVHALARI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Acil durumlarda (yangın, patlama, yakıt sızıntısı veya saçılması) yapılması gerekenleri gösteren talimat levhaları, çalışanların görebileceği yerlere asılmalıdır.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Madde:4.12.5)</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UYARICI İŞARETLER</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istasyonunun dağıtım biriminde, dolum ve havalandırma bölgelerinde “Sigara ve benzerleri içilmez”, “Aracınızın motorunu durdurunuz”, “Cep telefonu kullanılmaz” yazıları veya eşdeğer bir ifadeyi içeren uyarı işaretleri dikkat çekici biçimde asılmalıdır.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Madde:4.13)</w:t>
      </w:r>
    </w:p>
    <w:p w:rsidR="00420964" w:rsidRDefault="00420964" w:rsidP="00420964">
      <w:pPr>
        <w:pStyle w:val="tespit"/>
        <w:spacing w:before="120" w:beforeAutospacing="0" w:after="0" w:afterAutospacing="0"/>
        <w:ind w:firstLine="700"/>
        <w:jc w:val="both"/>
        <w:rPr>
          <w:b/>
          <w:bCs/>
          <w:color w:val="000000"/>
          <w:sz w:val="27"/>
          <w:szCs w:val="27"/>
        </w:rPr>
      </w:pPr>
      <w:r>
        <w:rPr>
          <w:b/>
          <w:bCs/>
          <w:color w:val="000000"/>
          <w:sz w:val="27"/>
          <w:szCs w:val="27"/>
        </w:rPr>
        <w:t>- AKARYAKIT TANKER BOŞALTMA TALİMATI</w:t>
      </w:r>
    </w:p>
    <w:p w:rsidR="00420964" w:rsidRDefault="00420964" w:rsidP="00420964">
      <w:pPr>
        <w:pStyle w:val="yasametni"/>
        <w:spacing w:before="0" w:beforeAutospacing="0" w:after="0" w:afterAutospacing="0"/>
        <w:ind w:firstLine="700"/>
        <w:jc w:val="both"/>
        <w:rPr>
          <w:i/>
          <w:iCs/>
          <w:color w:val="000000"/>
          <w:sz w:val="27"/>
          <w:szCs w:val="27"/>
        </w:rPr>
      </w:pPr>
      <w:r>
        <w:rPr>
          <w:i/>
          <w:iCs/>
          <w:color w:val="000000"/>
          <w:sz w:val="27"/>
          <w:szCs w:val="27"/>
        </w:rPr>
        <w:t>Akaryakıt tankerlerinin emniyetli boşaltma talimatı boşaltma ağzına yakın bir yere asılmalıdır.</w:t>
      </w:r>
    </w:p>
    <w:p w:rsidR="00420964" w:rsidRDefault="00420964" w:rsidP="00420964">
      <w:pPr>
        <w:pStyle w:val="dayanak"/>
        <w:spacing w:before="0" w:beforeAutospacing="0" w:after="120" w:afterAutospacing="0"/>
        <w:ind w:firstLine="700"/>
        <w:jc w:val="both"/>
        <w:rPr>
          <w:b/>
          <w:bCs/>
          <w:i/>
          <w:iCs/>
          <w:color w:val="000000"/>
          <w:sz w:val="27"/>
          <w:szCs w:val="27"/>
        </w:rPr>
      </w:pPr>
      <w:r>
        <w:rPr>
          <w:b/>
          <w:bCs/>
          <w:i/>
          <w:iCs/>
          <w:color w:val="000000"/>
          <w:sz w:val="27"/>
          <w:szCs w:val="27"/>
        </w:rPr>
        <w:t>(TS 12820 ÖSG-2007/09 Madde:4.13.1)</w:t>
      </w:r>
    </w:p>
    <w:p w:rsidR="00420964" w:rsidRDefault="00420964" w:rsidP="004E0173">
      <w:pPr>
        <w:jc w:val="center"/>
      </w:pPr>
      <w:bookmarkStart w:id="0" w:name="_GoBack"/>
      <w:bookmarkEnd w:id="0"/>
    </w:p>
    <w:sectPr w:rsidR="0042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7A"/>
    <w:rsid w:val="00420964"/>
    <w:rsid w:val="004E0173"/>
    <w:rsid w:val="0073215D"/>
    <w:rsid w:val="009F377A"/>
    <w:rsid w:val="00A94FFD"/>
    <w:rsid w:val="00E77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BF3F-9003-4933-9C09-9477EC66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377A"/>
  </w:style>
  <w:style w:type="paragraph" w:customStyle="1" w:styleId="tespit">
    <w:name w:val="tespit"/>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sametni">
    <w:name w:val="yasametni"/>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yanak">
    <w:name w:val="dayanak"/>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82872">
      <w:bodyDiv w:val="1"/>
      <w:marLeft w:val="0"/>
      <w:marRight w:val="0"/>
      <w:marTop w:val="0"/>
      <w:marBottom w:val="0"/>
      <w:divBdr>
        <w:top w:val="none" w:sz="0" w:space="0" w:color="auto"/>
        <w:left w:val="none" w:sz="0" w:space="0" w:color="auto"/>
        <w:bottom w:val="none" w:sz="0" w:space="0" w:color="auto"/>
        <w:right w:val="none" w:sz="0" w:space="0" w:color="auto"/>
      </w:divBdr>
    </w:div>
    <w:div w:id="558590817">
      <w:bodyDiv w:val="1"/>
      <w:marLeft w:val="0"/>
      <w:marRight w:val="0"/>
      <w:marTop w:val="0"/>
      <w:marBottom w:val="0"/>
      <w:divBdr>
        <w:top w:val="none" w:sz="0" w:space="0" w:color="auto"/>
        <w:left w:val="none" w:sz="0" w:space="0" w:color="auto"/>
        <w:bottom w:val="none" w:sz="0" w:space="0" w:color="auto"/>
        <w:right w:val="none" w:sz="0" w:space="0" w:color="auto"/>
      </w:divBdr>
    </w:div>
    <w:div w:id="1775705598">
      <w:bodyDiv w:val="1"/>
      <w:marLeft w:val="0"/>
      <w:marRight w:val="0"/>
      <w:marTop w:val="0"/>
      <w:marBottom w:val="0"/>
      <w:divBdr>
        <w:top w:val="none" w:sz="0" w:space="0" w:color="auto"/>
        <w:left w:val="none" w:sz="0" w:space="0" w:color="auto"/>
        <w:bottom w:val="none" w:sz="0" w:space="0" w:color="auto"/>
        <w:right w:val="none" w:sz="0" w:space="0" w:color="auto"/>
      </w:divBdr>
    </w:div>
    <w:div w:id="21427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ULUÇAY</dc:creator>
  <cp:keywords/>
  <dc:description/>
  <cp:lastModifiedBy>Berk ULUÇAY</cp:lastModifiedBy>
  <cp:revision>2</cp:revision>
  <dcterms:created xsi:type="dcterms:W3CDTF">2016-01-27T16:35:00Z</dcterms:created>
  <dcterms:modified xsi:type="dcterms:W3CDTF">2016-01-27T16:35:00Z</dcterms:modified>
</cp:coreProperties>
</file>