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4C1C" w:rsidRPr="00734C1C" w:rsidRDefault="00734C1C" w:rsidP="00734C1C">
      <w:pPr>
        <w:pStyle w:val="2-ortabaslk"/>
        <w:spacing w:before="56" w:beforeAutospacing="0" w:line="240" w:lineRule="exact"/>
        <w:jc w:val="center"/>
        <w:rPr>
          <w:b/>
        </w:rPr>
      </w:pPr>
      <w:bookmarkStart w:id="0" w:name="_GoBack"/>
      <w:bookmarkEnd w:id="0"/>
      <w:r w:rsidRPr="00734C1C">
        <w:rPr>
          <w:b/>
        </w:rPr>
        <w:t>BÜYÜK ENDÜSTRİYEL KAZALARLA İLGİLİ HAZIRLANACAK</w:t>
      </w:r>
    </w:p>
    <w:p w:rsidR="00734C1C" w:rsidRPr="00734C1C" w:rsidRDefault="00734C1C" w:rsidP="00734C1C">
      <w:pPr>
        <w:pStyle w:val="2-ortabaslk"/>
        <w:spacing w:after="170" w:afterAutospacing="0" w:line="240" w:lineRule="exact"/>
        <w:jc w:val="center"/>
        <w:rPr>
          <w:b/>
        </w:rPr>
      </w:pPr>
      <w:r w:rsidRPr="00734C1C">
        <w:rPr>
          <w:b/>
        </w:rPr>
        <w:t>GÜVENLİK RAPORU TEBLİĞİ</w:t>
      </w:r>
    </w:p>
    <w:p w:rsidR="00734C1C" w:rsidRPr="00734C1C" w:rsidRDefault="00734C1C" w:rsidP="00734C1C">
      <w:pPr>
        <w:spacing w:after="0" w:line="240" w:lineRule="auto"/>
        <w:jc w:val="center"/>
        <w:rPr>
          <w:rFonts w:ascii="Times New Roman" w:eastAsia="Times New Roman" w:hAnsi="Times New Roman" w:cs="Times New Roman"/>
          <w:b/>
          <w:sz w:val="24"/>
          <w:szCs w:val="24"/>
          <w:lang w:eastAsia="tr-TR"/>
        </w:rPr>
      </w:pPr>
      <w:r w:rsidRPr="00734C1C">
        <w:rPr>
          <w:rFonts w:ascii="Times New Roman" w:eastAsia="Times New Roman" w:hAnsi="Times New Roman" w:cs="Times New Roman"/>
          <w:b/>
          <w:sz w:val="24"/>
          <w:szCs w:val="24"/>
          <w:lang w:eastAsia="tr-TR"/>
        </w:rPr>
        <w:t xml:space="preserve">Yayımlandığı Resmi Gazete Tarihi/Sayısı: 24.01.2015/29246   </w:t>
      </w:r>
      <w:hyperlink r:id="rId6" w:history="1">
        <w:r w:rsidRPr="00734C1C">
          <w:rPr>
            <w:rStyle w:val="Kpr"/>
            <w:rFonts w:ascii="Times New Roman" w:eastAsia="Times New Roman" w:hAnsi="Times New Roman" w:cs="Times New Roman"/>
            <w:b/>
            <w:sz w:val="24"/>
            <w:szCs w:val="24"/>
            <w:lang w:eastAsia="tr-TR"/>
          </w:rPr>
          <w:t>www.bilgit.com</w:t>
        </w:r>
      </w:hyperlink>
    </w:p>
    <w:p w:rsidR="00734C1C" w:rsidRPr="00734C1C" w:rsidRDefault="00734C1C" w:rsidP="00734C1C">
      <w:pPr>
        <w:pStyle w:val="2-ortabaslk"/>
        <w:spacing w:line="240" w:lineRule="exact"/>
        <w:jc w:val="center"/>
        <w:rPr>
          <w:b/>
        </w:rPr>
      </w:pPr>
      <w:r w:rsidRPr="00734C1C">
        <w:rPr>
          <w:b/>
        </w:rPr>
        <w:t>BİRİNCİ BÖLÜM</w:t>
      </w:r>
    </w:p>
    <w:p w:rsidR="00734C1C" w:rsidRPr="00734C1C" w:rsidRDefault="00734C1C" w:rsidP="00734C1C">
      <w:pPr>
        <w:pStyle w:val="2-ortabaslk"/>
        <w:spacing w:after="85" w:afterAutospacing="0" w:line="240" w:lineRule="exact"/>
        <w:jc w:val="center"/>
        <w:rPr>
          <w:b/>
        </w:rPr>
      </w:pPr>
      <w:r w:rsidRPr="00734C1C">
        <w:rPr>
          <w:b/>
        </w:rPr>
        <w:t>Amaç, Kapsam, Dayanak ve Tanımlar</w:t>
      </w:r>
    </w:p>
    <w:p w:rsidR="00734C1C" w:rsidRPr="00734C1C" w:rsidRDefault="00734C1C" w:rsidP="00734C1C">
      <w:pPr>
        <w:pStyle w:val="3-normalyaz"/>
        <w:spacing w:line="240" w:lineRule="exact"/>
        <w:ind w:firstLine="566"/>
        <w:jc w:val="both"/>
      </w:pPr>
      <w:r w:rsidRPr="00734C1C">
        <w:rPr>
          <w:b/>
        </w:rPr>
        <w:t>Amaç</w:t>
      </w:r>
    </w:p>
    <w:p w:rsidR="00734C1C" w:rsidRPr="00734C1C" w:rsidRDefault="00734C1C" w:rsidP="00734C1C">
      <w:pPr>
        <w:pStyle w:val="3-normalyaz"/>
        <w:spacing w:line="240" w:lineRule="exact"/>
        <w:ind w:firstLine="566"/>
        <w:jc w:val="both"/>
      </w:pPr>
      <w:r w:rsidRPr="00734C1C">
        <w:rPr>
          <w:b/>
        </w:rPr>
        <w:t>MADDE 1 –</w:t>
      </w:r>
      <w:r w:rsidRPr="00734C1C">
        <w:t xml:space="preserve"> (1) Bu Tebliğin amacı; </w:t>
      </w:r>
      <w:proofErr w:type="gramStart"/>
      <w:r w:rsidRPr="00734C1C">
        <w:rPr>
          <w:rStyle w:val="grame"/>
        </w:rPr>
        <w:t>30/12/2013</w:t>
      </w:r>
      <w:proofErr w:type="gramEnd"/>
      <w:r w:rsidRPr="00734C1C">
        <w:t xml:space="preserve"> tarihli ve 28867 mükerrer sayılı Resmî </w:t>
      </w:r>
      <w:proofErr w:type="spellStart"/>
      <w:r w:rsidRPr="00734C1C">
        <w:t>Gazete’de</w:t>
      </w:r>
      <w:proofErr w:type="spellEnd"/>
      <w:r w:rsidRPr="00734C1C">
        <w:t xml:space="preserve"> yayımlanan Büyük Endüstriyel Kazaların Önlenmesi ve Etkilerinin Azaltılması Hakkında </w:t>
      </w:r>
      <w:r w:rsidRPr="00734C1C">
        <w:rPr>
          <w:rStyle w:val="spelle"/>
        </w:rPr>
        <w:t>Yönetmelik’te</w:t>
      </w:r>
      <w:r w:rsidRPr="00734C1C">
        <w:t xml:space="preserve"> belirtilen üst seviyeli kuruluş işletmecilerinin, aynı Yönetmeliğin 11 inci maddesi gereği hazırlamaları veya hazırlatmaları gereken güvenlik raporlarına ilişkin usul ve esasları belirlemektir.</w:t>
      </w:r>
    </w:p>
    <w:p w:rsidR="00734C1C" w:rsidRPr="00734C1C" w:rsidRDefault="00734C1C" w:rsidP="00734C1C">
      <w:pPr>
        <w:pStyle w:val="3-normalyaz"/>
        <w:spacing w:line="240" w:lineRule="exact"/>
        <w:ind w:firstLine="566"/>
        <w:jc w:val="both"/>
      </w:pPr>
      <w:r w:rsidRPr="00734C1C">
        <w:rPr>
          <w:b/>
        </w:rPr>
        <w:t>Kapsam</w:t>
      </w:r>
    </w:p>
    <w:p w:rsidR="00734C1C" w:rsidRPr="00734C1C" w:rsidRDefault="00734C1C" w:rsidP="00734C1C">
      <w:pPr>
        <w:pStyle w:val="3-normalyaz"/>
        <w:spacing w:line="240" w:lineRule="exact"/>
        <w:ind w:firstLine="566"/>
        <w:jc w:val="both"/>
      </w:pPr>
      <w:r w:rsidRPr="00734C1C">
        <w:rPr>
          <w:b/>
        </w:rPr>
        <w:t>MADDE 2 –</w:t>
      </w:r>
      <w:r w:rsidRPr="00734C1C">
        <w:t xml:space="preserve"> (1) Bu Tebliğ, Büyük Endüstriyel Kazaların Önlenmesi ve Etkilerinin Azaltılması Hakkında Yönetmeliğin 5 inci maddesinde tanımlanan üst seviyeli kuruluşlar hakkında uygulanır.</w:t>
      </w:r>
    </w:p>
    <w:p w:rsidR="00734C1C" w:rsidRPr="00734C1C" w:rsidRDefault="00734C1C" w:rsidP="00734C1C">
      <w:pPr>
        <w:pStyle w:val="3-normalyaz"/>
        <w:spacing w:line="240" w:lineRule="exact"/>
        <w:ind w:firstLine="566"/>
        <w:jc w:val="both"/>
      </w:pPr>
      <w:r w:rsidRPr="00734C1C">
        <w:rPr>
          <w:b/>
        </w:rPr>
        <w:t>Dayanak</w:t>
      </w:r>
    </w:p>
    <w:p w:rsidR="00734C1C" w:rsidRPr="00734C1C" w:rsidRDefault="00734C1C" w:rsidP="00734C1C">
      <w:pPr>
        <w:pStyle w:val="3-normalyaz"/>
        <w:spacing w:line="240" w:lineRule="exact"/>
        <w:ind w:firstLine="566"/>
        <w:jc w:val="both"/>
      </w:pPr>
      <w:r w:rsidRPr="00734C1C">
        <w:rPr>
          <w:b/>
        </w:rPr>
        <w:t>MADDE 3 –</w:t>
      </w:r>
      <w:r w:rsidRPr="00734C1C">
        <w:t xml:space="preserve"> (1)  Bu Tebliğ, Büyük Endüstriyel Kazaların Önlenmesi ve Etkilerinin Azaltılması Hakkında Yönetmeliğin 11 inci ve 21 inci maddelerine dayanılarak hazırlanmıştır.</w:t>
      </w:r>
    </w:p>
    <w:p w:rsidR="00734C1C" w:rsidRPr="00734C1C" w:rsidRDefault="00734C1C" w:rsidP="00734C1C">
      <w:pPr>
        <w:pStyle w:val="3-normalyaz"/>
        <w:spacing w:line="240" w:lineRule="exact"/>
        <w:ind w:firstLine="566"/>
        <w:jc w:val="both"/>
      </w:pPr>
      <w:r w:rsidRPr="00734C1C">
        <w:rPr>
          <w:b/>
        </w:rPr>
        <w:t>Tanımlar ve kısaltmalar</w:t>
      </w:r>
    </w:p>
    <w:p w:rsidR="00734C1C" w:rsidRPr="00734C1C" w:rsidRDefault="00734C1C" w:rsidP="00734C1C">
      <w:pPr>
        <w:pStyle w:val="3-normalyaz"/>
        <w:spacing w:line="240" w:lineRule="exact"/>
        <w:ind w:firstLine="566"/>
        <w:jc w:val="both"/>
      </w:pPr>
      <w:r w:rsidRPr="00734C1C">
        <w:rPr>
          <w:b/>
        </w:rPr>
        <w:t>MADDE 4 –</w:t>
      </w:r>
      <w:r w:rsidRPr="00734C1C">
        <w:t xml:space="preserve"> (1) Bu Tebliğde geçen;</w:t>
      </w:r>
    </w:p>
    <w:p w:rsidR="00734C1C" w:rsidRPr="00734C1C" w:rsidRDefault="00734C1C" w:rsidP="00734C1C">
      <w:pPr>
        <w:pStyle w:val="3-normalyaz"/>
        <w:spacing w:line="240" w:lineRule="exact"/>
        <w:ind w:firstLine="566"/>
        <w:jc w:val="both"/>
      </w:pPr>
      <w:r w:rsidRPr="00734C1C">
        <w:t>a) BKÖP: Büyük kaza önleme politikasını,</w:t>
      </w:r>
    </w:p>
    <w:p w:rsidR="00734C1C" w:rsidRPr="00734C1C" w:rsidRDefault="00734C1C" w:rsidP="00734C1C">
      <w:pPr>
        <w:pStyle w:val="3-normalyaz"/>
        <w:spacing w:line="240" w:lineRule="exact"/>
        <w:ind w:firstLine="566"/>
        <w:jc w:val="both"/>
      </w:pPr>
      <w:r w:rsidRPr="00734C1C">
        <w:t xml:space="preserve">b) Güvenlik raporu: Üst seviyeli kuruluşun, kuruluşun çevresinin, kuruluşta yürütülen faaliyetlerin ve </w:t>
      </w:r>
      <w:proofErr w:type="gramStart"/>
      <w:r w:rsidRPr="00734C1C">
        <w:rPr>
          <w:rStyle w:val="grame"/>
        </w:rPr>
        <w:t>proseslerin</w:t>
      </w:r>
      <w:proofErr w:type="gramEnd"/>
      <w:r w:rsidRPr="00734C1C">
        <w:t xml:space="preserve"> tanıtımının yapıldığı, Büyük Endüstriyel Kazaların Önlenmesi ve Etkilerinin Azaltılması Hakkında Yönetmeliğin eki Ek-3’te belirtilen ilkeleri içerecek şekilde kuruluşta uygulanan güvenlik yönetim sistemi ile ilgili bilgilerin ve işletmecinin taahhütlerinin bulunduğu belgeyi,</w:t>
      </w:r>
    </w:p>
    <w:p w:rsidR="00734C1C" w:rsidRPr="00734C1C" w:rsidRDefault="00734C1C" w:rsidP="00734C1C">
      <w:pPr>
        <w:pStyle w:val="3-normalyaz"/>
        <w:spacing w:line="240" w:lineRule="exact"/>
        <w:ind w:firstLine="566"/>
        <w:jc w:val="both"/>
      </w:pPr>
      <w:r w:rsidRPr="00734C1C">
        <w:t>c) Güvenlik raporu formatı: Ek-1’de belirtilen; biçim ve genel kurallar dikkate alınarak ve Ek-2’de belirtilen güvenlik raporunda bulunması gerekli asgari bilginin, belirtilen başlık ve numaralara göre sıralanmasını içeren güvenlik raporu düzenini,</w:t>
      </w:r>
    </w:p>
    <w:p w:rsidR="00734C1C" w:rsidRPr="00734C1C" w:rsidRDefault="00734C1C" w:rsidP="00734C1C">
      <w:pPr>
        <w:pStyle w:val="3-normalyaz"/>
        <w:spacing w:line="240" w:lineRule="exact"/>
        <w:ind w:firstLine="566"/>
        <w:jc w:val="both"/>
      </w:pPr>
      <w:r w:rsidRPr="00734C1C">
        <w:t>ç) GYS: Güvenlik yönetim sistemini,</w:t>
      </w:r>
    </w:p>
    <w:p w:rsidR="00734C1C" w:rsidRPr="00734C1C" w:rsidRDefault="00734C1C" w:rsidP="00734C1C">
      <w:pPr>
        <w:pStyle w:val="3-normalyaz"/>
        <w:spacing w:line="240" w:lineRule="exact"/>
        <w:ind w:firstLine="566"/>
        <w:jc w:val="both"/>
      </w:pPr>
      <w:r w:rsidRPr="00734C1C">
        <w:t>d) Kritik olay (KO): Büyük kazaya sebebiyet verme potansiyeli olan bütünlük kaybını,</w:t>
      </w:r>
    </w:p>
    <w:p w:rsidR="00734C1C" w:rsidRPr="00734C1C" w:rsidRDefault="00734C1C" w:rsidP="00734C1C">
      <w:pPr>
        <w:pStyle w:val="3-normalyaz"/>
        <w:spacing w:line="240" w:lineRule="exact"/>
        <w:ind w:firstLine="566"/>
        <w:jc w:val="both"/>
      </w:pPr>
      <w:r w:rsidRPr="00734C1C">
        <w:t xml:space="preserve">e) Yönetmelik: </w:t>
      </w:r>
      <w:proofErr w:type="gramStart"/>
      <w:r w:rsidRPr="00734C1C">
        <w:rPr>
          <w:rStyle w:val="grame"/>
        </w:rPr>
        <w:t>30/12/2013</w:t>
      </w:r>
      <w:proofErr w:type="gramEnd"/>
      <w:r w:rsidRPr="00734C1C">
        <w:t xml:space="preserve"> tarihli ve 28867 mükerrer sayılı Resmî </w:t>
      </w:r>
      <w:proofErr w:type="spellStart"/>
      <w:r w:rsidRPr="00734C1C">
        <w:t>Gazete’de</w:t>
      </w:r>
      <w:proofErr w:type="spellEnd"/>
      <w:r w:rsidRPr="00734C1C">
        <w:t xml:space="preserve"> yayımlanan Büyük Endüstriyel Kazaların Önlenmesi ve Etkilerinin Azaltılması Hakkında Yönetmeliği,</w:t>
      </w:r>
    </w:p>
    <w:p w:rsidR="00734C1C" w:rsidRPr="00734C1C" w:rsidRDefault="00734C1C" w:rsidP="00734C1C">
      <w:pPr>
        <w:pStyle w:val="3-normalyaz"/>
        <w:spacing w:line="240" w:lineRule="exact"/>
        <w:ind w:firstLine="566"/>
        <w:jc w:val="both"/>
      </w:pPr>
      <w:proofErr w:type="gramStart"/>
      <w:r w:rsidRPr="00734C1C">
        <w:rPr>
          <w:rStyle w:val="grame"/>
        </w:rPr>
        <w:t>ifade</w:t>
      </w:r>
      <w:proofErr w:type="gramEnd"/>
      <w:r w:rsidRPr="00734C1C">
        <w:t xml:space="preserve"> eder.</w:t>
      </w:r>
    </w:p>
    <w:p w:rsidR="00734C1C" w:rsidRPr="00734C1C" w:rsidRDefault="00734C1C" w:rsidP="00734C1C">
      <w:pPr>
        <w:pStyle w:val="2-ortabaslk"/>
        <w:spacing w:line="240" w:lineRule="exact"/>
        <w:jc w:val="center"/>
      </w:pPr>
      <w:r w:rsidRPr="00734C1C">
        <w:t>İKİNCİ BÖLÜM</w:t>
      </w:r>
    </w:p>
    <w:p w:rsidR="00734C1C" w:rsidRPr="00734C1C" w:rsidRDefault="00734C1C" w:rsidP="00734C1C">
      <w:pPr>
        <w:pStyle w:val="2-ortabaslk"/>
        <w:spacing w:after="85" w:afterAutospacing="0" w:line="240" w:lineRule="exact"/>
        <w:jc w:val="center"/>
      </w:pPr>
      <w:r w:rsidRPr="00734C1C">
        <w:t>Genel Yükümlülükler</w:t>
      </w:r>
    </w:p>
    <w:p w:rsidR="00734C1C" w:rsidRPr="00734C1C" w:rsidRDefault="00734C1C" w:rsidP="00734C1C">
      <w:pPr>
        <w:pStyle w:val="3-normalyaz"/>
        <w:spacing w:line="240" w:lineRule="exact"/>
        <w:ind w:firstLine="566"/>
        <w:jc w:val="both"/>
      </w:pPr>
      <w:r w:rsidRPr="00734C1C">
        <w:rPr>
          <w:b/>
        </w:rPr>
        <w:t>İşletmecinin güvenlik raporu ile ilgili yükümlülükleri</w:t>
      </w:r>
    </w:p>
    <w:p w:rsidR="00734C1C" w:rsidRPr="00734C1C" w:rsidRDefault="00734C1C" w:rsidP="00734C1C">
      <w:pPr>
        <w:pStyle w:val="3-normalyaz"/>
        <w:spacing w:line="240" w:lineRule="exact"/>
        <w:ind w:firstLine="566"/>
        <w:jc w:val="both"/>
      </w:pPr>
      <w:r w:rsidRPr="00734C1C">
        <w:rPr>
          <w:b/>
        </w:rPr>
        <w:lastRenderedPageBreak/>
        <w:t>MADDE 5 –</w:t>
      </w:r>
      <w:r w:rsidRPr="00734C1C">
        <w:t xml:space="preserve"> (1) Üst seviyeli bir kuruluşun işletmecisi Ek-2’de belirtilen bilgileri ve güvenlik raporu formatını dikkate alarak bir güvenlik raporu hazırlar veya hazırlatır.</w:t>
      </w:r>
    </w:p>
    <w:p w:rsidR="00734C1C" w:rsidRPr="00734C1C" w:rsidRDefault="00734C1C" w:rsidP="00734C1C">
      <w:pPr>
        <w:pStyle w:val="2-ortabaslk"/>
        <w:spacing w:before="85" w:beforeAutospacing="0" w:line="240" w:lineRule="exact"/>
        <w:jc w:val="center"/>
      </w:pPr>
      <w:r w:rsidRPr="00734C1C">
        <w:t>ÜÇÜNCÜ BÖLÜM</w:t>
      </w:r>
    </w:p>
    <w:p w:rsidR="00734C1C" w:rsidRPr="00734C1C" w:rsidRDefault="00734C1C" w:rsidP="00734C1C">
      <w:pPr>
        <w:pStyle w:val="2-ortabaslk"/>
        <w:spacing w:line="240" w:lineRule="exact"/>
        <w:jc w:val="center"/>
      </w:pPr>
      <w:r w:rsidRPr="00734C1C">
        <w:t>Güvenlik Raporunun İncelenmesi, Gizli Bölümleri ve Raporda</w:t>
      </w:r>
    </w:p>
    <w:p w:rsidR="00734C1C" w:rsidRPr="00734C1C" w:rsidRDefault="00734C1C" w:rsidP="00734C1C">
      <w:pPr>
        <w:pStyle w:val="2-ortabaslk"/>
        <w:spacing w:after="85" w:afterAutospacing="0" w:line="240" w:lineRule="exact"/>
        <w:jc w:val="center"/>
      </w:pPr>
      <w:r w:rsidRPr="00734C1C">
        <w:t>Belirtilen Bilgilerin Dayanakları</w:t>
      </w:r>
    </w:p>
    <w:p w:rsidR="00734C1C" w:rsidRPr="00734C1C" w:rsidRDefault="00734C1C" w:rsidP="00734C1C">
      <w:pPr>
        <w:pStyle w:val="3-normalyaz"/>
        <w:spacing w:line="240" w:lineRule="exact"/>
        <w:ind w:firstLine="566"/>
        <w:jc w:val="both"/>
      </w:pPr>
      <w:r w:rsidRPr="00734C1C">
        <w:rPr>
          <w:b/>
        </w:rPr>
        <w:t>Güvenlik raporunun incelenmesi</w:t>
      </w:r>
    </w:p>
    <w:p w:rsidR="00734C1C" w:rsidRPr="00734C1C" w:rsidRDefault="00734C1C" w:rsidP="00734C1C">
      <w:pPr>
        <w:pStyle w:val="3-normalyaz"/>
        <w:spacing w:line="240" w:lineRule="exact"/>
        <w:ind w:firstLine="566"/>
        <w:jc w:val="both"/>
      </w:pPr>
      <w:r w:rsidRPr="00734C1C">
        <w:rPr>
          <w:b/>
        </w:rPr>
        <w:t>MADDE 6 –</w:t>
      </w:r>
      <w:r w:rsidRPr="00734C1C">
        <w:t xml:space="preserve">  (1) Güvenlik raporları Yönetmeliğin 11 inci ve 12 </w:t>
      </w:r>
      <w:proofErr w:type="spellStart"/>
      <w:r w:rsidRPr="00734C1C">
        <w:rPr>
          <w:rStyle w:val="spelle"/>
        </w:rPr>
        <w:t>nci</w:t>
      </w:r>
      <w:proofErr w:type="spellEnd"/>
      <w:r w:rsidRPr="00734C1C">
        <w:t xml:space="preserve"> maddelerinde belirtilen usul ve esaslara göre incelenir.</w:t>
      </w:r>
    </w:p>
    <w:p w:rsidR="00734C1C" w:rsidRPr="00734C1C" w:rsidRDefault="00734C1C" w:rsidP="00734C1C">
      <w:pPr>
        <w:pStyle w:val="3-normalyaz"/>
        <w:spacing w:line="240" w:lineRule="exact"/>
        <w:ind w:firstLine="566"/>
        <w:jc w:val="both"/>
      </w:pPr>
      <w:r w:rsidRPr="00734C1C">
        <w:rPr>
          <w:b/>
          <w:bCs/>
        </w:rPr>
        <w:t>Güvenlik raporunun gizli bölümleri</w:t>
      </w:r>
    </w:p>
    <w:p w:rsidR="00734C1C" w:rsidRPr="00734C1C" w:rsidRDefault="00734C1C" w:rsidP="00734C1C">
      <w:pPr>
        <w:pStyle w:val="3-normalyaz"/>
        <w:spacing w:line="240" w:lineRule="exact"/>
        <w:ind w:firstLine="566"/>
        <w:jc w:val="both"/>
      </w:pPr>
      <w:r w:rsidRPr="00734C1C">
        <w:rPr>
          <w:b/>
        </w:rPr>
        <w:t>MADDE 7 –</w:t>
      </w:r>
      <w:r w:rsidRPr="00734C1C">
        <w:t xml:space="preserve"> (1) Hazırlanan güvenlik raporlarında, Ek-2’nin birinci ve ikinci bölümünde yer alan 1.1.6 (bildirim </w:t>
      </w:r>
      <w:proofErr w:type="gramStart"/>
      <w:r w:rsidRPr="00734C1C">
        <w:rPr>
          <w:rStyle w:val="grame"/>
        </w:rPr>
        <w:t>dahilindeki</w:t>
      </w:r>
      <w:proofErr w:type="gramEnd"/>
      <w:r w:rsidRPr="00734C1C">
        <w:t xml:space="preserve"> tehlikeli madde ve miktarları), 1.2 (b) ve (c),  1.4.1 (c hariç), 1.4.2,  1.5 (a) ve 1.5.2, 1.5.16, 2.2.2, 2.2.3, 2.2.4, 2.2.6, 2.2.7 numaralı maddeler ve bu maddelere ait alt başlıkları ile üçüncü bölümünün tamamında belirtilen bilgiler, Yönetmeliğin 21 inci maddesi gereğince gizli olarak kabul edilir ve bu bölümler üçüncü kişilere açıklanmaz.</w:t>
      </w:r>
    </w:p>
    <w:p w:rsidR="00734C1C" w:rsidRPr="00734C1C" w:rsidRDefault="00734C1C" w:rsidP="00734C1C">
      <w:pPr>
        <w:pStyle w:val="3-normalyaz"/>
        <w:spacing w:line="240" w:lineRule="exact"/>
        <w:ind w:firstLine="566"/>
        <w:jc w:val="both"/>
      </w:pPr>
      <w:r w:rsidRPr="00734C1C">
        <w:rPr>
          <w:b/>
        </w:rPr>
        <w:t>Güvenlik raporunda belirtilen bilgilerin niteliği</w:t>
      </w:r>
    </w:p>
    <w:p w:rsidR="00734C1C" w:rsidRPr="00734C1C" w:rsidRDefault="00734C1C" w:rsidP="00734C1C">
      <w:pPr>
        <w:pStyle w:val="3-normalyaz"/>
        <w:spacing w:line="240" w:lineRule="exact"/>
        <w:ind w:firstLine="566"/>
        <w:jc w:val="both"/>
      </w:pPr>
      <w:r w:rsidRPr="00734C1C">
        <w:rPr>
          <w:b/>
        </w:rPr>
        <w:t>MADDE 8 –</w:t>
      </w:r>
      <w:r w:rsidRPr="00734C1C">
        <w:t xml:space="preserve"> (1) Güvenlik raporunda kullanılan veya belirtilen; güvenilirlik verileri, olasılık verileri, </w:t>
      </w:r>
      <w:proofErr w:type="spellStart"/>
      <w:r w:rsidRPr="00734C1C">
        <w:rPr>
          <w:rStyle w:val="spelle"/>
        </w:rPr>
        <w:t>enstrümantasyon</w:t>
      </w:r>
      <w:proofErr w:type="spellEnd"/>
      <w:r w:rsidRPr="00734C1C">
        <w:t xml:space="preserve"> güvenlik sertifikasyonları, meteorolojik, hidrografik ve benzeri bilgiler ile referans bilgilerinin; hangi ulusal/uluslararası kurum veya kuruluşlar ile ulusal/uluslararası kabul görmüş bilimsel veya standardize edilmiş kaynaklardan alındığı belirtilir.</w:t>
      </w:r>
    </w:p>
    <w:p w:rsidR="00734C1C" w:rsidRPr="00734C1C" w:rsidRDefault="00734C1C" w:rsidP="00734C1C">
      <w:pPr>
        <w:pStyle w:val="3-normalyaz"/>
        <w:spacing w:line="240" w:lineRule="exact"/>
        <w:ind w:firstLine="566"/>
        <w:jc w:val="both"/>
      </w:pPr>
      <w:r w:rsidRPr="00734C1C">
        <w:rPr>
          <w:b/>
        </w:rPr>
        <w:t>Güvenlik raporu ile birlikte gönderilen risk değerlendirmesi</w:t>
      </w:r>
    </w:p>
    <w:p w:rsidR="00734C1C" w:rsidRPr="00734C1C" w:rsidRDefault="00734C1C" w:rsidP="00734C1C">
      <w:pPr>
        <w:pStyle w:val="3-normalyaz"/>
        <w:spacing w:line="240" w:lineRule="exact"/>
        <w:ind w:firstLine="566"/>
        <w:jc w:val="both"/>
      </w:pPr>
      <w:r w:rsidRPr="00734C1C">
        <w:rPr>
          <w:b/>
        </w:rPr>
        <w:t>MADDE 9 –</w:t>
      </w:r>
      <w:r w:rsidRPr="00734C1C">
        <w:t xml:space="preserve"> (1) Üst seviyeli kuruluşun işletmecisi tarafından, Yönetmeliğin 8 inci maddesi gereği hazırlanan/hazırlatılan </w:t>
      </w:r>
      <w:proofErr w:type="gramStart"/>
      <w:r w:rsidRPr="00734C1C">
        <w:t>kantitatif</w:t>
      </w:r>
      <w:proofErr w:type="gramEnd"/>
      <w:r w:rsidRPr="00734C1C">
        <w:t xml:space="preserve"> risk değerlendirme belgeleri, güvenlik raporu ile birlikte ancak ayrı bir doküman olarak harici bir bellek ile Çalışma ve Sosyal Güvenlik Bakanlığına gönderilir. Söz konusu </w:t>
      </w:r>
      <w:proofErr w:type="gramStart"/>
      <w:r w:rsidRPr="00734C1C">
        <w:rPr>
          <w:rStyle w:val="grame"/>
        </w:rPr>
        <w:t>kantitatif</w:t>
      </w:r>
      <w:proofErr w:type="gramEnd"/>
      <w:r w:rsidRPr="00734C1C">
        <w:t xml:space="preserve"> risk değerlendirme belgeleri, güvenlik raporunun herhangi bir bölümünü veya ekini teşkil etmez.</w:t>
      </w:r>
    </w:p>
    <w:p w:rsidR="00734C1C" w:rsidRPr="00734C1C" w:rsidRDefault="00734C1C" w:rsidP="00734C1C">
      <w:pPr>
        <w:pStyle w:val="2-ortabaslk"/>
        <w:spacing w:before="85" w:beforeAutospacing="0" w:line="240" w:lineRule="exact"/>
        <w:jc w:val="center"/>
      </w:pPr>
      <w:r w:rsidRPr="00734C1C">
        <w:t>DÖRDÜNCÜ BÖLÜM</w:t>
      </w:r>
    </w:p>
    <w:p w:rsidR="00734C1C" w:rsidRPr="00734C1C" w:rsidRDefault="00734C1C" w:rsidP="00734C1C">
      <w:pPr>
        <w:pStyle w:val="2-ortabaslk"/>
        <w:spacing w:after="85" w:afterAutospacing="0" w:line="240" w:lineRule="exact"/>
        <w:jc w:val="center"/>
      </w:pPr>
      <w:r w:rsidRPr="00734C1C">
        <w:t>Çeşitli ve Son Hükümler</w:t>
      </w:r>
    </w:p>
    <w:p w:rsidR="00734C1C" w:rsidRPr="00734C1C" w:rsidRDefault="00734C1C" w:rsidP="00734C1C">
      <w:pPr>
        <w:pStyle w:val="3-normalyaz"/>
        <w:spacing w:line="240" w:lineRule="exact"/>
        <w:ind w:firstLine="566"/>
        <w:jc w:val="both"/>
      </w:pPr>
      <w:r w:rsidRPr="00734C1C">
        <w:rPr>
          <w:b/>
        </w:rPr>
        <w:t>İdari tedbirler ve uygulanma usulleri ile yaptırımlar</w:t>
      </w:r>
    </w:p>
    <w:p w:rsidR="00734C1C" w:rsidRPr="00734C1C" w:rsidRDefault="00734C1C" w:rsidP="00734C1C">
      <w:pPr>
        <w:pStyle w:val="3-normalyaz"/>
        <w:spacing w:line="240" w:lineRule="exact"/>
        <w:ind w:firstLine="566"/>
        <w:jc w:val="both"/>
      </w:pPr>
      <w:r w:rsidRPr="00734C1C">
        <w:rPr>
          <w:b/>
        </w:rPr>
        <w:t>MADDE 10 –</w:t>
      </w:r>
      <w:r w:rsidRPr="00734C1C">
        <w:t xml:space="preserve"> (1) Güvenlik raporunun yetersiz bulunması halinde, Yönetmeliğin 23 üncü maddesinin ikinci fıkrasında belirtilen hükümler uygulanır.</w:t>
      </w:r>
    </w:p>
    <w:p w:rsidR="00734C1C" w:rsidRPr="00734C1C" w:rsidRDefault="00734C1C" w:rsidP="00734C1C">
      <w:pPr>
        <w:pStyle w:val="3-normalyaz"/>
        <w:spacing w:line="240" w:lineRule="exact"/>
        <w:ind w:firstLine="566"/>
        <w:jc w:val="both"/>
      </w:pPr>
      <w:r w:rsidRPr="00734C1C">
        <w:rPr>
          <w:b/>
        </w:rPr>
        <w:t>Yabancı dildeki kaynaklar</w:t>
      </w:r>
    </w:p>
    <w:p w:rsidR="00734C1C" w:rsidRPr="00734C1C" w:rsidRDefault="00734C1C" w:rsidP="00734C1C">
      <w:pPr>
        <w:pStyle w:val="3-normalyaz"/>
        <w:spacing w:line="240" w:lineRule="exact"/>
        <w:ind w:firstLine="566"/>
        <w:jc w:val="both"/>
      </w:pPr>
      <w:r w:rsidRPr="00734C1C">
        <w:rPr>
          <w:b/>
        </w:rPr>
        <w:t>MADDE 11 –</w:t>
      </w:r>
      <w:r w:rsidRPr="00734C1C">
        <w:t xml:space="preserve"> (1) Yabancı dildeki kaynaklardaki bilgilerin kullanılması durumunda güvenlik raporunun ekinde, söz konusu bilgilerin ilgili mevzuata göre yeminli tercüman tarafından yapılan Türkçe çevirileri sunulur.</w:t>
      </w:r>
    </w:p>
    <w:p w:rsidR="00734C1C" w:rsidRPr="00734C1C" w:rsidRDefault="00734C1C" w:rsidP="00734C1C">
      <w:pPr>
        <w:pStyle w:val="3-normalyaz"/>
        <w:spacing w:line="240" w:lineRule="exact"/>
        <w:ind w:firstLine="566"/>
        <w:jc w:val="both"/>
      </w:pPr>
      <w:r w:rsidRPr="00734C1C">
        <w:rPr>
          <w:b/>
        </w:rPr>
        <w:t>Yürürlük</w:t>
      </w:r>
    </w:p>
    <w:p w:rsidR="00734C1C" w:rsidRPr="00734C1C" w:rsidRDefault="00734C1C" w:rsidP="00734C1C">
      <w:pPr>
        <w:pStyle w:val="3-normalyaz"/>
        <w:spacing w:line="240" w:lineRule="exact"/>
        <w:ind w:firstLine="566"/>
        <w:jc w:val="both"/>
      </w:pPr>
      <w:r w:rsidRPr="00734C1C">
        <w:rPr>
          <w:b/>
        </w:rPr>
        <w:t>MADDE 12 –</w:t>
      </w:r>
      <w:r w:rsidRPr="00734C1C">
        <w:t xml:space="preserve"> (1) Bu Tebliğ yayımı tarihinde yürürlüğe girer.</w:t>
      </w:r>
    </w:p>
    <w:p w:rsidR="00734C1C" w:rsidRPr="00734C1C" w:rsidRDefault="00734C1C" w:rsidP="00734C1C">
      <w:pPr>
        <w:pStyle w:val="3-normalyaz"/>
        <w:spacing w:line="240" w:lineRule="exact"/>
        <w:ind w:firstLine="566"/>
        <w:jc w:val="both"/>
      </w:pPr>
      <w:r w:rsidRPr="00734C1C">
        <w:rPr>
          <w:b/>
        </w:rPr>
        <w:t>Yürütme</w:t>
      </w:r>
    </w:p>
    <w:p w:rsidR="00734C1C" w:rsidRPr="00734C1C" w:rsidRDefault="00734C1C" w:rsidP="00734C1C">
      <w:pPr>
        <w:pStyle w:val="3-normalyaz"/>
        <w:spacing w:line="240" w:lineRule="exact"/>
        <w:ind w:firstLine="566"/>
        <w:jc w:val="both"/>
      </w:pPr>
      <w:r w:rsidRPr="00734C1C">
        <w:rPr>
          <w:b/>
        </w:rPr>
        <w:lastRenderedPageBreak/>
        <w:t>MADDE 13 –</w:t>
      </w:r>
      <w:r w:rsidRPr="00734C1C">
        <w:t xml:space="preserve"> (1) Bu Tebliğ hükümlerini Çalışma ve Sosyal Güvenlik Bakanı ile Çevre ve Şehircilik Bakanı müştereken yürütür.</w:t>
      </w:r>
    </w:p>
    <w:p w:rsidR="00734C1C" w:rsidRPr="00734C1C" w:rsidRDefault="00734C1C" w:rsidP="00734C1C">
      <w:pPr>
        <w:pStyle w:val="3-normalyaz"/>
        <w:spacing w:line="240" w:lineRule="exact"/>
        <w:ind w:firstLine="566"/>
        <w:jc w:val="both"/>
      </w:pPr>
      <w:r w:rsidRPr="00734C1C">
        <w:t> </w:t>
      </w:r>
    </w:p>
    <w:p w:rsidR="005F7BCF" w:rsidRDefault="00734C1C" w:rsidP="00734C1C">
      <w:pPr>
        <w:jc w:val="both"/>
        <w:rPr>
          <w:rFonts w:ascii="Times New Roman" w:hAnsi="Times New Roman" w:cs="Times New Roman"/>
          <w:b/>
          <w:bCs/>
          <w:sz w:val="24"/>
          <w:szCs w:val="24"/>
        </w:rPr>
      </w:pPr>
      <w:hyperlink r:id="rId7" w:history="1">
        <w:r w:rsidRPr="00734C1C">
          <w:rPr>
            <w:rStyle w:val="Kpr"/>
            <w:rFonts w:ascii="Times New Roman" w:hAnsi="Times New Roman" w:cs="Times New Roman"/>
            <w:b/>
            <w:bCs/>
            <w:sz w:val="24"/>
            <w:szCs w:val="24"/>
          </w:rPr>
          <w:t xml:space="preserve">Ekler için </w:t>
        </w:r>
        <w:proofErr w:type="spellStart"/>
        <w:r w:rsidR="001744C6">
          <w:rPr>
            <w:rStyle w:val="Kpr"/>
            <w:rFonts w:ascii="Times New Roman" w:hAnsi="Times New Roman" w:cs="Times New Roman"/>
            <w:b/>
            <w:bCs/>
            <w:sz w:val="24"/>
            <w:szCs w:val="24"/>
          </w:rPr>
          <w:t>Ctrl</w:t>
        </w:r>
        <w:proofErr w:type="spellEnd"/>
        <w:r w:rsidR="001744C6">
          <w:rPr>
            <w:rStyle w:val="Kpr"/>
            <w:rFonts w:ascii="Times New Roman" w:hAnsi="Times New Roman" w:cs="Times New Roman"/>
            <w:b/>
            <w:bCs/>
            <w:sz w:val="24"/>
            <w:szCs w:val="24"/>
          </w:rPr>
          <w:t xml:space="preserve"> ile birlikte </w:t>
        </w:r>
        <w:r w:rsidRPr="00734C1C">
          <w:rPr>
            <w:rStyle w:val="Kpr"/>
            <w:rFonts w:ascii="Times New Roman" w:hAnsi="Times New Roman" w:cs="Times New Roman"/>
            <w:b/>
            <w:bCs/>
            <w:sz w:val="24"/>
            <w:szCs w:val="24"/>
          </w:rPr>
          <w:t>tıklayını</w:t>
        </w:r>
        <w:r w:rsidR="001744C6">
          <w:rPr>
            <w:rStyle w:val="Kpr"/>
            <w:rFonts w:ascii="Times New Roman" w:hAnsi="Times New Roman" w:cs="Times New Roman"/>
            <w:b/>
            <w:bCs/>
            <w:sz w:val="24"/>
            <w:szCs w:val="24"/>
          </w:rPr>
          <w:t>z (WEB)</w:t>
        </w:r>
      </w:hyperlink>
    </w:p>
    <w:p w:rsidR="001744C6" w:rsidRPr="001744C6" w:rsidRDefault="001744C6" w:rsidP="00734C1C">
      <w:pPr>
        <w:jc w:val="both"/>
        <w:rPr>
          <w:rFonts w:ascii="Times New Roman" w:hAnsi="Times New Roman" w:cs="Times New Roman"/>
          <w:b/>
          <w:bCs/>
          <w:color w:val="FF0000"/>
          <w:sz w:val="24"/>
          <w:szCs w:val="24"/>
        </w:rPr>
      </w:pPr>
      <w:r w:rsidRPr="001744C6">
        <w:rPr>
          <w:rFonts w:ascii="Times New Roman" w:hAnsi="Times New Roman" w:cs="Times New Roman"/>
          <w:b/>
          <w:bCs/>
          <w:color w:val="FF0000"/>
          <w:sz w:val="24"/>
          <w:szCs w:val="24"/>
        </w:rPr>
        <w:t>Ekler için aşağıdaki sarı alana çift tıklayınız. Ekler PDF formatında ayrı sayfada açılacaktır.</w:t>
      </w:r>
    </w:p>
    <w:p w:rsidR="001744C6" w:rsidRDefault="001744C6" w:rsidP="00734C1C">
      <w:pPr>
        <w:jc w:val="both"/>
        <w:rPr>
          <w:rFonts w:ascii="Times New Roman" w:hAnsi="Times New Roman" w:cs="Times New Roman"/>
          <w:b/>
          <w:bCs/>
          <w:sz w:val="24"/>
          <w:szCs w:val="24"/>
        </w:rPr>
      </w:pPr>
      <w:r w:rsidRPr="001744C6">
        <w:rPr>
          <w:rFonts w:ascii="Times New Roman" w:hAnsi="Times New Roman" w:cs="Times New Roman"/>
          <w:b/>
          <w:bCs/>
          <w:sz w:val="24"/>
          <w:szCs w:val="24"/>
          <w:highlight w:val="yellow"/>
        </w:rPr>
        <w:object w:dxaOrig="1543"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8" o:title=""/>
          </v:shape>
          <o:OLEObject Type="Embed" ProgID="FoxitReader.Document" ShapeID="_x0000_i1025" DrawAspect="Icon" ObjectID="_1483564197" r:id="rId9"/>
        </w:object>
      </w:r>
    </w:p>
    <w:p w:rsidR="001744C6" w:rsidRPr="00734C1C" w:rsidRDefault="001744C6" w:rsidP="00734C1C">
      <w:pPr>
        <w:jc w:val="both"/>
        <w:rPr>
          <w:rFonts w:ascii="Times New Roman" w:hAnsi="Times New Roman" w:cs="Times New Roman"/>
          <w:sz w:val="24"/>
          <w:szCs w:val="24"/>
        </w:rPr>
      </w:pPr>
    </w:p>
    <w:sectPr w:rsidR="001744C6" w:rsidRPr="00734C1C" w:rsidSect="007F3328">
      <w:footerReference w:type="default" r:id="rId1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B7149" w:rsidRDefault="001B7149" w:rsidP="007F3328">
      <w:pPr>
        <w:spacing w:after="0" w:line="240" w:lineRule="auto"/>
      </w:pPr>
      <w:r>
        <w:separator/>
      </w:r>
    </w:p>
  </w:endnote>
  <w:endnote w:type="continuationSeparator" w:id="0">
    <w:p w:rsidR="001B7149" w:rsidRDefault="001B7149" w:rsidP="007F33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E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i/>
        <w:sz w:val="20"/>
        <w:szCs w:val="20"/>
      </w:rPr>
      <w:id w:val="-1567790385"/>
      <w:docPartObj>
        <w:docPartGallery w:val="Page Numbers (Bottom of Page)"/>
        <w:docPartUnique/>
      </w:docPartObj>
    </w:sdtPr>
    <w:sdtEndPr/>
    <w:sdtContent>
      <w:sdt>
        <w:sdtPr>
          <w:rPr>
            <w:i/>
            <w:sz w:val="20"/>
            <w:szCs w:val="20"/>
          </w:rPr>
          <w:id w:val="98381352"/>
          <w:docPartObj>
            <w:docPartGallery w:val="Page Numbers (Top of Page)"/>
            <w:docPartUnique/>
          </w:docPartObj>
        </w:sdtPr>
        <w:sdtEndPr/>
        <w:sdtContent>
          <w:p w:rsidR="007F3328" w:rsidRPr="007F3328" w:rsidRDefault="007F3328" w:rsidP="007F3328">
            <w:pPr>
              <w:pStyle w:val="Altbilgi"/>
              <w:jc w:val="right"/>
              <w:rPr>
                <w:i/>
                <w:sz w:val="20"/>
                <w:szCs w:val="20"/>
              </w:rPr>
            </w:pPr>
            <w:r w:rsidRPr="007F3328">
              <w:rPr>
                <w:i/>
                <w:sz w:val="20"/>
                <w:szCs w:val="20"/>
              </w:rPr>
              <w:t xml:space="preserve">www.bilgit.com </w:t>
            </w:r>
            <w:r w:rsidRPr="007F3328">
              <w:rPr>
                <w:bCs/>
                <w:i/>
                <w:sz w:val="20"/>
                <w:szCs w:val="20"/>
              </w:rPr>
              <w:fldChar w:fldCharType="begin"/>
            </w:r>
            <w:r w:rsidRPr="007F3328">
              <w:rPr>
                <w:bCs/>
                <w:i/>
                <w:sz w:val="20"/>
                <w:szCs w:val="20"/>
              </w:rPr>
              <w:instrText>PAGE</w:instrText>
            </w:r>
            <w:r w:rsidRPr="007F3328">
              <w:rPr>
                <w:bCs/>
                <w:i/>
                <w:sz w:val="20"/>
                <w:szCs w:val="20"/>
              </w:rPr>
              <w:fldChar w:fldCharType="separate"/>
            </w:r>
            <w:r w:rsidR="001744C6">
              <w:rPr>
                <w:bCs/>
                <w:i/>
                <w:noProof/>
                <w:sz w:val="20"/>
                <w:szCs w:val="20"/>
              </w:rPr>
              <w:t>3</w:t>
            </w:r>
            <w:r w:rsidRPr="007F3328">
              <w:rPr>
                <w:bCs/>
                <w:i/>
                <w:sz w:val="20"/>
                <w:szCs w:val="20"/>
              </w:rPr>
              <w:fldChar w:fldCharType="end"/>
            </w:r>
            <w:r w:rsidRPr="007F3328">
              <w:rPr>
                <w:i/>
                <w:sz w:val="20"/>
                <w:szCs w:val="20"/>
              </w:rPr>
              <w:t xml:space="preserve"> / </w:t>
            </w:r>
            <w:r w:rsidRPr="007F3328">
              <w:rPr>
                <w:bCs/>
                <w:i/>
                <w:sz w:val="20"/>
                <w:szCs w:val="20"/>
              </w:rPr>
              <w:fldChar w:fldCharType="begin"/>
            </w:r>
            <w:r w:rsidRPr="007F3328">
              <w:rPr>
                <w:bCs/>
                <w:i/>
                <w:sz w:val="20"/>
                <w:szCs w:val="20"/>
              </w:rPr>
              <w:instrText>NUMPAGES</w:instrText>
            </w:r>
            <w:r w:rsidRPr="007F3328">
              <w:rPr>
                <w:bCs/>
                <w:i/>
                <w:sz w:val="20"/>
                <w:szCs w:val="20"/>
              </w:rPr>
              <w:fldChar w:fldCharType="separate"/>
            </w:r>
            <w:r w:rsidR="001744C6">
              <w:rPr>
                <w:bCs/>
                <w:i/>
                <w:noProof/>
                <w:sz w:val="20"/>
                <w:szCs w:val="20"/>
              </w:rPr>
              <w:t>3</w:t>
            </w:r>
            <w:r w:rsidRPr="007F3328">
              <w:rPr>
                <w:bCs/>
                <w:i/>
                <w:sz w:val="20"/>
                <w:szCs w:val="20"/>
              </w:rPr>
              <w:fldChar w:fldCharType="end"/>
            </w:r>
          </w:p>
        </w:sdtContent>
      </w:sdt>
    </w:sdtContent>
  </w:sdt>
  <w:p w:rsidR="007F3328" w:rsidRDefault="007F3328">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B7149" w:rsidRDefault="001B7149" w:rsidP="007F3328">
      <w:pPr>
        <w:spacing w:after="0" w:line="240" w:lineRule="auto"/>
      </w:pPr>
      <w:r>
        <w:separator/>
      </w:r>
    </w:p>
  </w:footnote>
  <w:footnote w:type="continuationSeparator" w:id="0">
    <w:p w:rsidR="001B7149" w:rsidRDefault="001B7149" w:rsidP="007F332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0E27"/>
    <w:rsid w:val="00057457"/>
    <w:rsid w:val="00060E27"/>
    <w:rsid w:val="001744C6"/>
    <w:rsid w:val="001B7149"/>
    <w:rsid w:val="001D4B92"/>
    <w:rsid w:val="00277745"/>
    <w:rsid w:val="003A1AC9"/>
    <w:rsid w:val="004556F8"/>
    <w:rsid w:val="005F7BCF"/>
    <w:rsid w:val="00734C1C"/>
    <w:rsid w:val="007F3328"/>
    <w:rsid w:val="00905975"/>
    <w:rsid w:val="00B623D2"/>
    <w:rsid w:val="00C301F7"/>
    <w:rsid w:val="00EC2FC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3BD412A-578B-431F-94DA-16677DA540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556F8"/>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7F3328"/>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7F3328"/>
  </w:style>
  <w:style w:type="paragraph" w:styleId="Altbilgi">
    <w:name w:val="footer"/>
    <w:basedOn w:val="Normal"/>
    <w:link w:val="AltbilgiChar"/>
    <w:uiPriority w:val="99"/>
    <w:unhideWhenUsed/>
    <w:rsid w:val="007F3328"/>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7F3328"/>
  </w:style>
  <w:style w:type="character" w:styleId="Kpr">
    <w:name w:val="Hyperlink"/>
    <w:basedOn w:val="VarsaylanParagrafYazTipi"/>
    <w:uiPriority w:val="99"/>
    <w:unhideWhenUsed/>
    <w:rsid w:val="004556F8"/>
    <w:rPr>
      <w:color w:val="0000FF" w:themeColor="hyperlink"/>
      <w:u w:val="single"/>
    </w:rPr>
  </w:style>
  <w:style w:type="paragraph" w:customStyle="1" w:styleId="style9">
    <w:name w:val="style9"/>
    <w:basedOn w:val="Normal"/>
    <w:rsid w:val="00277745"/>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auto-style8">
    <w:name w:val="auto-style8"/>
    <w:basedOn w:val="VarsaylanParagrafYazTipi"/>
    <w:rsid w:val="00277745"/>
  </w:style>
  <w:style w:type="character" w:customStyle="1" w:styleId="style1">
    <w:name w:val="style1"/>
    <w:basedOn w:val="VarsaylanParagrafYazTipi"/>
    <w:rsid w:val="00277745"/>
  </w:style>
  <w:style w:type="character" w:customStyle="1" w:styleId="auto-style7">
    <w:name w:val="auto-style7"/>
    <w:basedOn w:val="VarsaylanParagrafYazTipi"/>
    <w:rsid w:val="00277745"/>
  </w:style>
  <w:style w:type="paragraph" w:styleId="NormalWeb">
    <w:name w:val="Normal (Web)"/>
    <w:basedOn w:val="Normal"/>
    <w:uiPriority w:val="99"/>
    <w:semiHidden/>
    <w:unhideWhenUsed/>
    <w:rsid w:val="00734C1C"/>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1-baslk">
    <w:name w:val="1-baslk"/>
    <w:basedOn w:val="Normal"/>
    <w:rsid w:val="00734C1C"/>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2-ortabaslk">
    <w:name w:val="2-ortabaslk"/>
    <w:basedOn w:val="Normal"/>
    <w:rsid w:val="00734C1C"/>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3-normalyaz">
    <w:name w:val="3-normalyaz"/>
    <w:basedOn w:val="Normal"/>
    <w:rsid w:val="00734C1C"/>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grame">
    <w:name w:val="grame"/>
    <w:basedOn w:val="VarsaylanParagrafYazTipi"/>
    <w:rsid w:val="00734C1C"/>
  </w:style>
  <w:style w:type="character" w:customStyle="1" w:styleId="spelle">
    <w:name w:val="spelle"/>
    <w:basedOn w:val="VarsaylanParagrafYazTipi"/>
    <w:rsid w:val="00734C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5927036">
      <w:bodyDiv w:val="1"/>
      <w:marLeft w:val="0"/>
      <w:marRight w:val="0"/>
      <w:marTop w:val="0"/>
      <w:marBottom w:val="0"/>
      <w:divBdr>
        <w:top w:val="none" w:sz="0" w:space="0" w:color="auto"/>
        <w:left w:val="none" w:sz="0" w:space="0" w:color="auto"/>
        <w:bottom w:val="none" w:sz="0" w:space="0" w:color="auto"/>
        <w:right w:val="none" w:sz="0" w:space="0" w:color="auto"/>
      </w:divBdr>
    </w:div>
    <w:div w:id="544871078">
      <w:bodyDiv w:val="1"/>
      <w:marLeft w:val="0"/>
      <w:marRight w:val="0"/>
      <w:marTop w:val="0"/>
      <w:marBottom w:val="0"/>
      <w:divBdr>
        <w:top w:val="none" w:sz="0" w:space="0" w:color="auto"/>
        <w:left w:val="none" w:sz="0" w:space="0" w:color="auto"/>
        <w:bottom w:val="none" w:sz="0" w:space="0" w:color="auto"/>
        <w:right w:val="none" w:sz="0" w:space="0" w:color="auto"/>
      </w:divBdr>
    </w:div>
    <w:div w:id="1927687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webSettings" Target="webSettings.xml"/><Relationship Id="rId7" Type="http://schemas.openxmlformats.org/officeDocument/2006/relationships/hyperlink" Target="http://www.resmigazete.gov.tr/eskiler/2015/01/20150124-6-1.pdf"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bilgit.com"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oleObject" Target="embeddings/oleObject1.bin"/></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3</Pages>
  <Words>729</Words>
  <Characters>4159</Characters>
  <Application>Microsoft Office Word</Application>
  <DocSecurity>0</DocSecurity>
  <Lines>34</Lines>
  <Paragraphs>9</Paragraphs>
  <ScaleCrop>false</ScaleCrop>
  <HeadingPairs>
    <vt:vector size="2" baseType="variant">
      <vt:variant>
        <vt:lpstr>Konu Başlığı</vt:lpstr>
      </vt:variant>
      <vt:variant>
        <vt:i4>1</vt:i4>
      </vt:variant>
    </vt:vector>
  </HeadingPairs>
  <TitlesOfParts>
    <vt:vector size="1" baseType="lpstr">
      <vt:lpstr/>
    </vt:vector>
  </TitlesOfParts>
  <Company>E.A.</Company>
  <LinksUpToDate>false</LinksUpToDate>
  <CharactersWithSpaces>4879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www.bilgit.com</dc:creator>
  <cp:lastModifiedBy>E.A</cp:lastModifiedBy>
  <cp:revision>8</cp:revision>
  <dcterms:created xsi:type="dcterms:W3CDTF">2013-04-27T09:36:00Z</dcterms:created>
  <dcterms:modified xsi:type="dcterms:W3CDTF">2015-01-23T22:24:00Z</dcterms:modified>
</cp:coreProperties>
</file>